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D510B0" w:rsidP="00CF1133">
      <w:pPr>
        <w:ind w:left="-710" w:firstLine="695"/>
        <w:rPr>
          <w:b/>
          <w:bCs/>
        </w:rPr>
      </w:pPr>
    </w:p>
    <w:p w:rsidR="00CF1133" w:rsidRDefault="00855FA3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D510B0" w:rsidP="00CF1133">
      <w:pPr>
        <w:ind w:left="-710" w:firstLine="695"/>
        <w:rPr>
          <w:b/>
          <w:bCs/>
        </w:rPr>
      </w:pPr>
    </w:p>
    <w:p w:rsidR="00BE3AA8" w:rsidRDefault="00855FA3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D510B0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855FA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D510B0" w:rsidP="00CF1133">
      <w:pPr>
        <w:spacing w:after="0" w:line="256" w:lineRule="auto"/>
        <w:ind w:left="0" w:firstLine="0"/>
      </w:pPr>
    </w:p>
    <w:p w:rsidR="00A3358A" w:rsidRDefault="00855FA3" w:rsidP="00A3358A">
      <w:r w:rsidRPr="006312CF">
        <w:rPr>
          <w:b/>
        </w:rPr>
        <w:t>Date:</w:t>
      </w:r>
      <w:r>
        <w:t xml:space="preserve"> </w:t>
      </w:r>
      <w:fldSimple w:instr=" DOCPROPERTY  MeetingDate  \* MERGEFORMAT ">
        <w:r>
          <w:t>Thursday, 14 March 2019</w:t>
        </w:r>
      </w:fldSimple>
    </w:p>
    <w:p w:rsidR="00A3358A" w:rsidRDefault="00D510B0" w:rsidP="00A3358A"/>
    <w:p w:rsidR="00A3358A" w:rsidRDefault="00855FA3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Boost 2016-2018 External Evaluation Report</w:t>
      </w:r>
      <w:r>
        <w:rPr>
          <w:b/>
        </w:rPr>
        <w:fldChar w:fldCharType="end"/>
      </w:r>
    </w:p>
    <w:p w:rsidR="00A3358A" w:rsidRDefault="00855FA3" w:rsidP="00A3358A">
      <w:pPr>
        <w:ind w:left="0" w:firstLine="0"/>
      </w:pPr>
      <w:r>
        <w:t>(Appendix A refers)</w:t>
      </w:r>
    </w:p>
    <w:p w:rsidR="00D7480F" w:rsidRDefault="00D510B0" w:rsidP="00CF1133">
      <w:pPr>
        <w:spacing w:after="0" w:line="256" w:lineRule="auto"/>
        <w:ind w:left="0" w:firstLine="0"/>
      </w:pPr>
    </w:p>
    <w:p w:rsidR="00F41096" w:rsidRPr="00F41096" w:rsidRDefault="00855FA3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CF1133" w:rsidRPr="002B3CC5" w:rsidRDefault="00855FA3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D510B0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50054" w:rsidTr="008B5354">
        <w:tc>
          <w:tcPr>
            <w:tcW w:w="9180" w:type="dxa"/>
          </w:tcPr>
          <w:p w:rsidR="002B3CC5" w:rsidRDefault="00D510B0" w:rsidP="00841251">
            <w:pPr>
              <w:pStyle w:val="Header"/>
            </w:pPr>
          </w:p>
          <w:p w:rsidR="002B3CC5" w:rsidRPr="002B3CC5" w:rsidRDefault="00855FA3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D510B0" w:rsidP="00841251">
            <w:pPr>
              <w:rPr>
                <w:color w:val="auto"/>
              </w:rPr>
            </w:pPr>
          </w:p>
          <w:p w:rsidR="000D695A" w:rsidRDefault="00855FA3" w:rsidP="00855FA3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As a condition of European Regional Development Fund (ERDF) grant, Boost – Lancashire's Business Growth Hub, is required to conduct an interim and final (summative) evaluation of each phase of the Growth Hub Programme.</w:t>
            </w:r>
          </w:p>
          <w:p w:rsidR="000D695A" w:rsidRDefault="00D510B0" w:rsidP="00855FA3">
            <w:pPr>
              <w:ind w:left="0" w:firstLine="0"/>
              <w:jc w:val="both"/>
              <w:rPr>
                <w:color w:val="auto"/>
              </w:rPr>
            </w:pPr>
          </w:p>
          <w:p w:rsidR="002B3CC5" w:rsidRPr="002B3CC5" w:rsidRDefault="00855FA3" w:rsidP="00855FA3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This report presents the final evaluation of Boost 2 (2016-2018).     </w:t>
            </w:r>
          </w:p>
          <w:p w:rsidR="002B3CC5" w:rsidRPr="002B3CC5" w:rsidRDefault="00D510B0" w:rsidP="00841251">
            <w:pPr>
              <w:rPr>
                <w:color w:val="auto"/>
              </w:rPr>
            </w:pPr>
          </w:p>
          <w:p w:rsidR="002B3CC5" w:rsidRPr="002B3CC5" w:rsidRDefault="00855FA3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D510B0" w:rsidP="00841251">
            <w:pPr>
              <w:rPr>
                <w:color w:val="auto"/>
              </w:rPr>
            </w:pPr>
          </w:p>
          <w:p w:rsidR="002B3CC5" w:rsidRDefault="00855FA3" w:rsidP="00841251">
            <w:pPr>
              <w:rPr>
                <w:color w:val="auto"/>
              </w:rPr>
            </w:pPr>
            <w:r>
              <w:rPr>
                <w:color w:val="auto"/>
              </w:rPr>
              <w:t>The Business Support Management Board are recommended to:-</w:t>
            </w:r>
          </w:p>
          <w:p w:rsidR="00CC4C89" w:rsidRDefault="00D510B0" w:rsidP="00841251">
            <w:pPr>
              <w:rPr>
                <w:color w:val="auto"/>
              </w:rPr>
            </w:pPr>
          </w:p>
          <w:p w:rsidR="00CC4C89" w:rsidRDefault="00855FA3" w:rsidP="00CC4C89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Note the Summative Assessment attached at Appendix A and presented at the meeting.</w:t>
            </w:r>
          </w:p>
          <w:p w:rsidR="00CC4C89" w:rsidRDefault="00855FA3" w:rsidP="00CC4C89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Note the remedial actions suggested in terms of areas of concern</w:t>
            </w:r>
          </w:p>
          <w:p w:rsidR="00CC4C89" w:rsidRPr="00CC4C89" w:rsidRDefault="00855FA3" w:rsidP="00CC4C89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Suggest any key changes required on Boost 3 in response to this evaluation of the project.  </w:t>
            </w:r>
          </w:p>
          <w:p w:rsidR="002B3CC5" w:rsidRDefault="00D510B0" w:rsidP="00841251"/>
        </w:tc>
      </w:tr>
    </w:tbl>
    <w:p w:rsidR="002B3CC5" w:rsidRDefault="00D510B0" w:rsidP="002B3CC5">
      <w:pPr>
        <w:pStyle w:val="Header"/>
      </w:pPr>
    </w:p>
    <w:p w:rsidR="00CC4C89" w:rsidRDefault="00D510B0">
      <w:pPr>
        <w:spacing w:after="160" w:line="259" w:lineRule="auto"/>
        <w:ind w:left="0" w:firstLine="0"/>
        <w:rPr>
          <w:b/>
        </w:rPr>
      </w:pPr>
    </w:p>
    <w:p w:rsidR="00A3358A" w:rsidRDefault="00855FA3" w:rsidP="00CC4C89">
      <w:pPr>
        <w:pStyle w:val="ListParagraph"/>
        <w:numPr>
          <w:ilvl w:val="0"/>
          <w:numId w:val="5"/>
        </w:numPr>
        <w:ind w:hanging="862"/>
        <w:rPr>
          <w:b/>
        </w:rPr>
      </w:pPr>
      <w:r w:rsidRPr="00CC4C89">
        <w:rPr>
          <w:b/>
        </w:rPr>
        <w:t xml:space="preserve">Background and Advice </w:t>
      </w:r>
      <w:r>
        <w:rPr>
          <w:b/>
        </w:rPr>
        <w:br/>
      </w:r>
    </w:p>
    <w:p w:rsidR="004765F7" w:rsidRDefault="00855FA3" w:rsidP="00855FA3">
      <w:pPr>
        <w:pStyle w:val="ListParagraph"/>
        <w:numPr>
          <w:ilvl w:val="1"/>
          <w:numId w:val="5"/>
        </w:numPr>
        <w:ind w:left="709" w:hanging="709"/>
        <w:jc w:val="both"/>
      </w:pPr>
      <w:r w:rsidRPr="00CC4C89">
        <w:t xml:space="preserve">An interim and final (summative) assessment </w:t>
      </w:r>
      <w:r>
        <w:t>is generally included as a funding condition in all ERDF projects, but also provides an opportunity to reflect on those aspects of the project that worked well and those that could be improved.</w:t>
      </w:r>
      <w:r>
        <w:br/>
      </w:r>
    </w:p>
    <w:p w:rsidR="00CC4C89" w:rsidRDefault="00855FA3" w:rsidP="00D510B0">
      <w:pPr>
        <w:pStyle w:val="ListParagraph"/>
        <w:numPr>
          <w:ilvl w:val="1"/>
          <w:numId w:val="5"/>
        </w:numPr>
        <w:ind w:left="709" w:hanging="709"/>
        <w:jc w:val="both"/>
      </w:pPr>
      <w:r>
        <w:t xml:space="preserve">Lancashire County Council appointed Hatch </w:t>
      </w:r>
      <w:proofErr w:type="spellStart"/>
      <w:r>
        <w:t>Regeneris</w:t>
      </w:r>
      <w:proofErr w:type="spellEnd"/>
      <w:r>
        <w:t xml:space="preserve"> as the external evaluator for Boost 2 and they have recently concluded their summative assessment of that three year programme </w:t>
      </w:r>
      <w:r w:rsidR="00D510B0">
        <w:t>(</w:t>
      </w:r>
      <w:r w:rsidRPr="00D510B0">
        <w:t>copy attached at Appendix A</w:t>
      </w:r>
      <w:r w:rsidR="00D510B0">
        <w:t>)</w:t>
      </w:r>
      <w:r w:rsidRPr="00855FA3">
        <w:rPr>
          <w:b/>
        </w:rPr>
        <w:t>.</w:t>
      </w:r>
      <w:r>
        <w:br/>
      </w:r>
    </w:p>
    <w:p w:rsidR="00B31770" w:rsidRPr="00B31770" w:rsidRDefault="00855FA3" w:rsidP="00B31770">
      <w:pPr>
        <w:pStyle w:val="ListParagraph"/>
        <w:numPr>
          <w:ilvl w:val="1"/>
          <w:numId w:val="5"/>
        </w:numPr>
        <w:ind w:left="709" w:hanging="709"/>
      </w:pPr>
      <w:r w:rsidRPr="00B31770">
        <w:lastRenderedPageBreak/>
        <w:t>The evaluation is underpinned by five key requirements, as set out in national programme guidance. These are:</w:t>
      </w:r>
      <w:r>
        <w:br/>
      </w:r>
      <w:r w:rsidRPr="00B31770">
        <w:t xml:space="preserve"> </w:t>
      </w:r>
    </w:p>
    <w:p w:rsidR="00B31770" w:rsidRPr="00B31770" w:rsidRDefault="00855FA3" w:rsidP="00B31770">
      <w:pPr>
        <w:pStyle w:val="ListParagraph"/>
        <w:ind w:left="709" w:firstLine="0"/>
      </w:pPr>
      <w:r w:rsidRPr="00B31770">
        <w:rPr>
          <w:b/>
          <w:bCs/>
        </w:rPr>
        <w:t xml:space="preserve">1) Relevance and consistency: </w:t>
      </w:r>
      <w:r w:rsidRPr="00B31770">
        <w:t xml:space="preserve">exploring the continued relevance and consistency of Boost in light of contextual changes, such as shifts in policy, economic circumstances and technological advancements. </w:t>
      </w:r>
      <w:r>
        <w:br/>
      </w:r>
    </w:p>
    <w:p w:rsidR="00B31770" w:rsidRPr="00B31770" w:rsidRDefault="00855FA3" w:rsidP="00B31770">
      <w:pPr>
        <w:pStyle w:val="ListParagraph"/>
        <w:ind w:left="709" w:firstLine="0"/>
      </w:pPr>
      <w:r w:rsidRPr="00B31770">
        <w:rPr>
          <w:b/>
          <w:bCs/>
        </w:rPr>
        <w:t xml:space="preserve">2) Progress against contractual targets: </w:t>
      </w:r>
      <w:r w:rsidRPr="00B31770">
        <w:t>setting out project progress when measured against contractual targets, over/under performance and projected lifetime results at project closure.</w:t>
      </w:r>
      <w:r>
        <w:br/>
      </w:r>
      <w:r w:rsidRPr="00B31770">
        <w:t xml:space="preserve"> </w:t>
      </w:r>
    </w:p>
    <w:p w:rsidR="00B31770" w:rsidRPr="00B31770" w:rsidRDefault="00855FA3" w:rsidP="00B31770">
      <w:pPr>
        <w:pStyle w:val="ListParagraph"/>
        <w:ind w:left="709" w:firstLine="0"/>
      </w:pPr>
      <w:r w:rsidRPr="00B31770">
        <w:rPr>
          <w:b/>
          <w:bCs/>
        </w:rPr>
        <w:t xml:space="preserve">3) Experience of delivering and managing the project: </w:t>
      </w:r>
      <w:r w:rsidRPr="00B31770">
        <w:t>outlining the practical experience of implementing and managing the project, lessons learned and evidence of best practice which can be applied to the delivery of other projects.</w:t>
      </w:r>
      <w:r>
        <w:br/>
      </w:r>
      <w:r w:rsidRPr="00B31770">
        <w:t xml:space="preserve"> </w:t>
      </w:r>
    </w:p>
    <w:p w:rsidR="00B31770" w:rsidRPr="00B31770" w:rsidRDefault="00855FA3" w:rsidP="00B31770">
      <w:pPr>
        <w:pStyle w:val="ListParagraph"/>
        <w:ind w:left="709" w:firstLine="0"/>
      </w:pPr>
      <w:r w:rsidRPr="00B31770">
        <w:rPr>
          <w:b/>
          <w:bCs/>
        </w:rPr>
        <w:t xml:space="preserve">4) Economic impact attributable to the project: </w:t>
      </w:r>
      <w:r w:rsidRPr="00B31770">
        <w:t xml:space="preserve">demonstrating the economic impacts attributable to the project, capturing those that were intended, actual and also wider outcomes which have provided added value to the local economy. </w:t>
      </w:r>
      <w:r>
        <w:br/>
      </w:r>
    </w:p>
    <w:p w:rsidR="00B31770" w:rsidRPr="00B31770" w:rsidRDefault="00855FA3" w:rsidP="00B31770">
      <w:pPr>
        <w:pStyle w:val="ListParagraph"/>
        <w:ind w:left="709" w:firstLine="0"/>
      </w:pPr>
      <w:r w:rsidRPr="00B31770">
        <w:rPr>
          <w:b/>
          <w:bCs/>
        </w:rPr>
        <w:t xml:space="preserve">5) Cost effectiveness and value for money: </w:t>
      </w:r>
      <w:r w:rsidRPr="00B31770">
        <w:t xml:space="preserve">a robust assessment of cost-effectiveness and value for money based on the balance of quantified costs and benefits, in light of intended and unintended impacts. </w:t>
      </w:r>
    </w:p>
    <w:p w:rsidR="00B31770" w:rsidRDefault="00855FA3" w:rsidP="00B31770">
      <w:pPr>
        <w:pStyle w:val="ListParagraph"/>
        <w:ind w:left="709" w:firstLine="0"/>
      </w:pPr>
      <w:r>
        <w:br/>
      </w:r>
    </w:p>
    <w:p w:rsidR="00B31770" w:rsidRPr="00B31770" w:rsidRDefault="00855FA3" w:rsidP="00EF3249">
      <w:pPr>
        <w:ind w:left="709" w:hanging="709"/>
      </w:pPr>
      <w:r>
        <w:t>1.4</w:t>
      </w:r>
      <w:r>
        <w:tab/>
      </w:r>
      <w:r w:rsidRPr="00B31770">
        <w:t>The evaluation draws from a variety of relevant information, data and qualitative insights:</w:t>
      </w:r>
      <w:r>
        <w:br/>
      </w:r>
      <w:r w:rsidRPr="00B31770">
        <w:t xml:space="preserve"> </w:t>
      </w:r>
    </w:p>
    <w:p w:rsidR="00B31770" w:rsidRPr="00B31770" w:rsidRDefault="00855FA3" w:rsidP="00EF3249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>A review of background documentation and the approved project logic model</w:t>
      </w:r>
      <w:r w:rsidRPr="00B31770">
        <w:t xml:space="preserve">, submitted as part of the ESIF bid, to understand this in detail and assess its continued relevance. </w:t>
      </w:r>
    </w:p>
    <w:p w:rsidR="00B31770" w:rsidRPr="00B31770" w:rsidRDefault="00855FA3" w:rsidP="00EF3249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>Detailed analysis of project monitoring data</w:t>
      </w:r>
      <w:r w:rsidRPr="00B31770">
        <w:t xml:space="preserve">, captured by the team and via beneficiaries, to assess performance against financial, output and result targets. </w:t>
      </w:r>
    </w:p>
    <w:p w:rsidR="00B31770" w:rsidRPr="00B31770" w:rsidRDefault="00855FA3" w:rsidP="00EF3249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 xml:space="preserve">An interrogation of delivery context </w:t>
      </w:r>
      <w:r w:rsidRPr="00B31770">
        <w:t xml:space="preserve">encompassing desk-based analysis of programme documents and in-depth consultations with delivery partners and programme stakeholders, capturing perspectives on project design, delivery, the mitigation of challenges, governance, and impacts. </w:t>
      </w:r>
    </w:p>
    <w:p w:rsidR="00B31770" w:rsidRPr="00B31770" w:rsidRDefault="00855FA3" w:rsidP="00EF3249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 xml:space="preserve">Beneficiary consultations </w:t>
      </w:r>
      <w:r w:rsidRPr="00B31770">
        <w:t xml:space="preserve">including a web-based SME survey and in-depth interviews with a sample of beneficiaries. This approach was designed to explore business sentiments, satisfaction levels, impacts achieved and how the project could evolve to better meet their needs and support growth aspirations. </w:t>
      </w:r>
    </w:p>
    <w:p w:rsidR="00B31770" w:rsidRPr="00B31770" w:rsidRDefault="00855FA3" w:rsidP="00EF3249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 xml:space="preserve">Case studies </w:t>
      </w:r>
      <w:r w:rsidRPr="00B31770">
        <w:t xml:space="preserve">of Growth Hubs elsewhere, drawing on good practice and lessons learnt. </w:t>
      </w:r>
    </w:p>
    <w:p w:rsidR="00A3358A" w:rsidRDefault="00855FA3" w:rsidP="004215DB">
      <w:pPr>
        <w:ind w:left="993" w:hanging="142"/>
      </w:pPr>
      <w:r w:rsidRPr="00B31770">
        <w:t xml:space="preserve">• </w:t>
      </w:r>
      <w:r w:rsidRPr="00B31770">
        <w:rPr>
          <w:b/>
          <w:bCs/>
        </w:rPr>
        <w:t xml:space="preserve">Quantitative impact analysis </w:t>
      </w:r>
      <w:r w:rsidRPr="00B31770">
        <w:t xml:space="preserve">to obtain a more granular view of the economic impacts experienced by beneficiaries, by grossing up impacts of </w:t>
      </w:r>
      <w:r w:rsidRPr="00B31770">
        <w:lastRenderedPageBreak/>
        <w:t>the surveyed businesses, making gross-to-net impact calculations, and assessing value for money of the net impacts achieved.</w:t>
      </w:r>
      <w:r>
        <w:br/>
      </w:r>
      <w:r>
        <w:br/>
      </w:r>
    </w:p>
    <w:p w:rsidR="00683220" w:rsidRDefault="00855FA3" w:rsidP="00683220">
      <w:pPr>
        <w:ind w:left="851" w:hanging="851"/>
        <w:rPr>
          <w:b/>
        </w:rPr>
      </w:pPr>
      <w:r w:rsidRPr="00270BA2">
        <w:rPr>
          <w:b/>
        </w:rPr>
        <w:t>2</w:t>
      </w:r>
      <w:r w:rsidRPr="00270BA2">
        <w:rPr>
          <w:b/>
        </w:rPr>
        <w:tab/>
        <w:t>Key Findings</w:t>
      </w:r>
      <w:r>
        <w:rPr>
          <w:b/>
        </w:rPr>
        <w:br/>
      </w:r>
    </w:p>
    <w:p w:rsidR="00AF560C" w:rsidRDefault="00855FA3" w:rsidP="00683220">
      <w:pPr>
        <w:ind w:left="851" w:hanging="851"/>
        <w:rPr>
          <w:b/>
        </w:rPr>
      </w:pPr>
      <w:r>
        <w:rPr>
          <w:b/>
        </w:rPr>
        <w:t>2.1</w:t>
      </w:r>
      <w:r>
        <w:rPr>
          <w:b/>
        </w:rPr>
        <w:tab/>
        <w:t xml:space="preserve">The main themes of the evaluation will be presented to the Business Support Management Board by Hatch </w:t>
      </w:r>
      <w:proofErr w:type="spellStart"/>
      <w:r>
        <w:rPr>
          <w:b/>
        </w:rPr>
        <w:t>Regeneris</w:t>
      </w:r>
      <w:proofErr w:type="spellEnd"/>
      <w:r>
        <w:rPr>
          <w:b/>
        </w:rPr>
        <w:t xml:space="preserve"> Consulting at the meeting, but the tables below summarise both the strengths and ongoing challenges faced by the Boost project.</w:t>
      </w:r>
      <w:r>
        <w:rPr>
          <w:b/>
        </w:rPr>
        <w:br/>
      </w:r>
    </w:p>
    <w:p w:rsidR="00EF3249" w:rsidRDefault="00855FA3" w:rsidP="00683220">
      <w:pPr>
        <w:ind w:left="851" w:hanging="851"/>
        <w:rPr>
          <w:b/>
        </w:rPr>
      </w:pPr>
      <w:r>
        <w:rPr>
          <w:b/>
        </w:rPr>
        <w:t>2.2</w:t>
      </w:r>
      <w:r>
        <w:rPr>
          <w:b/>
        </w:rPr>
        <w:tab/>
        <w:t xml:space="preserve">Many of the issues identified have already been addressed through the commissioning of Boost 3, but we will continue to monitor the commitments to improvement and remediation moving forward. </w:t>
      </w:r>
      <w:r w:rsidRPr="00270BA2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469"/>
      </w:tblGrid>
      <w:tr w:rsidR="00250054" w:rsidTr="00E252E1">
        <w:tc>
          <w:tcPr>
            <w:tcW w:w="1413" w:type="dxa"/>
          </w:tcPr>
          <w:p w:rsidR="00E252E1" w:rsidRPr="004215DB" w:rsidRDefault="00855FA3" w:rsidP="00E252E1">
            <w:pPr>
              <w:ind w:left="0" w:firstLine="0"/>
              <w:rPr>
                <w:b/>
              </w:rPr>
            </w:pPr>
            <w:r w:rsidRPr="004215DB">
              <w:rPr>
                <w:b/>
              </w:rPr>
              <w:t>Positive</w:t>
            </w: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  <w:rPr>
                <w:b/>
              </w:rPr>
            </w:pPr>
            <w:r w:rsidRPr="004215DB">
              <w:rPr>
                <w:b/>
              </w:rPr>
              <w:t xml:space="preserve">Page 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  <w:rPr>
                <w:b/>
              </w:rPr>
            </w:pPr>
            <w:r w:rsidRPr="004215DB">
              <w:rPr>
                <w:b/>
              </w:rPr>
              <w:t>Comment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29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Strong performance in meeting targets set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Pg.29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The success of the Boost Programme Manager as a visible and personable “ambassador” for Boost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31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The commitment of advisors providing above and beyond the 12 hours of support is also testament to the success of Boost in supporting new enterprises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33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Boost has a strong brand and profile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34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Strong performance by the Central Marketing Service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39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The majority (74%) of respondents reported that without Boost the changes would not have taken place and barriers to growth would have persisted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41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Boost 2 has had a greater economic impact than Boost 1 which suggests that Boost 2’s more targeted approach to targeting high growth businesses has been effective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48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Strength and Longevity of the Boost partnership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48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Robust and compliant systems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52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 xml:space="preserve">Gearing payment to results </w:t>
            </w:r>
          </w:p>
        </w:tc>
      </w:tr>
      <w:tr w:rsidR="00250054" w:rsidTr="00E252E1">
        <w:tc>
          <w:tcPr>
            <w:tcW w:w="1413" w:type="dxa"/>
          </w:tcPr>
          <w:p w:rsidR="00E252E1" w:rsidRPr="004215DB" w:rsidRDefault="00D510B0" w:rsidP="00E252E1">
            <w:pPr>
              <w:ind w:left="0" w:firstLine="0"/>
            </w:pPr>
          </w:p>
        </w:tc>
        <w:tc>
          <w:tcPr>
            <w:tcW w:w="1134" w:type="dxa"/>
          </w:tcPr>
          <w:p w:rsidR="00E252E1" w:rsidRPr="004215DB" w:rsidRDefault="00855FA3" w:rsidP="00E252E1">
            <w:pPr>
              <w:ind w:left="0" w:firstLine="0"/>
            </w:pPr>
            <w:r w:rsidRPr="004215DB">
              <w:t>Pg. 58</w:t>
            </w:r>
          </w:p>
        </w:tc>
        <w:tc>
          <w:tcPr>
            <w:tcW w:w="6469" w:type="dxa"/>
          </w:tcPr>
          <w:p w:rsidR="00E252E1" w:rsidRPr="004215DB" w:rsidRDefault="00855FA3" w:rsidP="00E252E1">
            <w:pPr>
              <w:ind w:left="34" w:hanging="34"/>
            </w:pPr>
            <w:r w:rsidRPr="004215DB">
              <w:t>69% of businesses reported that they had made some progress in developing products and services, while 56% reported progress in entering new markets</w:t>
            </w:r>
          </w:p>
        </w:tc>
      </w:tr>
    </w:tbl>
    <w:p w:rsidR="00E252E1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4215DB" w:rsidRDefault="00D510B0" w:rsidP="00E252E1">
      <w:pPr>
        <w:ind w:left="0" w:firstLine="0"/>
        <w:rPr>
          <w:b/>
        </w:rPr>
      </w:pPr>
    </w:p>
    <w:p w:rsidR="00C53211" w:rsidRDefault="00D510B0" w:rsidP="00E252E1">
      <w:pPr>
        <w:ind w:left="0" w:firstLine="0"/>
        <w:rPr>
          <w:b/>
        </w:rPr>
        <w:sectPr w:rsidR="00C53211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15DB" w:rsidRPr="00270BA2" w:rsidRDefault="00D510B0" w:rsidP="00E252E1">
      <w:pPr>
        <w:ind w:left="0" w:firstLine="0"/>
        <w:rPr>
          <w:b/>
        </w:rPr>
      </w:pPr>
    </w:p>
    <w:p w:rsidR="004215DB" w:rsidRDefault="00D510B0" w:rsidP="00E252E1"/>
    <w:p w:rsidR="00E252E1" w:rsidRPr="00E252E1" w:rsidRDefault="00D510B0" w:rsidP="00E25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025"/>
        <w:gridCol w:w="5685"/>
        <w:gridCol w:w="5381"/>
      </w:tblGrid>
      <w:tr w:rsidR="00250054" w:rsidTr="00AA7495">
        <w:trPr>
          <w:trHeight w:val="693"/>
          <w:tblHeader/>
        </w:trPr>
        <w:tc>
          <w:tcPr>
            <w:tcW w:w="1857" w:type="dxa"/>
          </w:tcPr>
          <w:p w:rsidR="0030431A" w:rsidRPr="00683220" w:rsidRDefault="00855FA3" w:rsidP="00AA7495">
            <w:pPr>
              <w:ind w:left="0" w:firstLine="0"/>
              <w:rPr>
                <w:b/>
              </w:rPr>
            </w:pPr>
            <w:r w:rsidRPr="00683220">
              <w:rPr>
                <w:b/>
              </w:rPr>
              <w:t>Requires Improvement</w:t>
            </w:r>
          </w:p>
        </w:tc>
        <w:tc>
          <w:tcPr>
            <w:tcW w:w="1025" w:type="dxa"/>
          </w:tcPr>
          <w:p w:rsidR="0030431A" w:rsidRPr="00683220" w:rsidRDefault="00855FA3" w:rsidP="00AA7495">
            <w:pPr>
              <w:ind w:left="0" w:firstLine="0"/>
              <w:rPr>
                <w:b/>
              </w:rPr>
            </w:pPr>
            <w:r w:rsidRPr="00683220">
              <w:rPr>
                <w:b/>
              </w:rPr>
              <w:t xml:space="preserve">Page </w:t>
            </w:r>
          </w:p>
        </w:tc>
        <w:tc>
          <w:tcPr>
            <w:tcW w:w="5685" w:type="dxa"/>
          </w:tcPr>
          <w:p w:rsidR="0030431A" w:rsidRPr="00683220" w:rsidRDefault="00855FA3" w:rsidP="00AA7495">
            <w:pPr>
              <w:ind w:left="34" w:hanging="34"/>
              <w:rPr>
                <w:b/>
              </w:rPr>
            </w:pPr>
            <w:r w:rsidRPr="00683220">
              <w:rPr>
                <w:b/>
              </w:rPr>
              <w:t>Comment</w:t>
            </w:r>
          </w:p>
        </w:tc>
        <w:tc>
          <w:tcPr>
            <w:tcW w:w="5381" w:type="dxa"/>
          </w:tcPr>
          <w:p w:rsidR="0030431A" w:rsidRPr="00683220" w:rsidRDefault="00855FA3" w:rsidP="00AA7495">
            <w:pPr>
              <w:ind w:left="34" w:hanging="34"/>
              <w:rPr>
                <w:b/>
              </w:rPr>
            </w:pPr>
            <w:r w:rsidRPr="00683220">
              <w:rPr>
                <w:b/>
              </w:rPr>
              <w:t>Suggested remediation / improvement</w:t>
            </w:r>
          </w:p>
        </w:tc>
      </w:tr>
      <w:tr w:rsidR="00250054" w:rsidTr="00AA7495">
        <w:tc>
          <w:tcPr>
            <w:tcW w:w="1857" w:type="dxa"/>
          </w:tcPr>
          <w:p w:rsidR="0030431A" w:rsidRDefault="00855FA3" w:rsidP="00AA7495">
            <w:pPr>
              <w:ind w:left="0" w:firstLine="0"/>
              <w:rPr>
                <w:b/>
              </w:rPr>
            </w:pPr>
            <w:r>
              <w:rPr>
                <w:b/>
              </w:rPr>
              <w:t>Programme Management</w:t>
            </w: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  <w:rPr>
                <w:b/>
              </w:rPr>
            </w:pPr>
            <w:r w:rsidRPr="00E252E1">
              <w:t>Pg. 35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  <w:rPr>
                <w:b/>
              </w:rPr>
            </w:pPr>
            <w:r w:rsidRPr="00E252E1">
              <w:t>The Marketing Sub-</w:t>
            </w:r>
            <w:r>
              <w:t>Group needs to be more focused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0" w:firstLine="0"/>
            </w:pPr>
            <w:r w:rsidRPr="008B1A8E">
              <w:t>There will be three bigger marketing meeti</w:t>
            </w:r>
            <w:r>
              <w:t>ngs (working title, Lancashire Business Growth F</w:t>
            </w:r>
            <w:r w:rsidRPr="008B1A8E">
              <w:t xml:space="preserve">orum) for the extended partnership to meet and understand </w:t>
            </w:r>
            <w:r>
              <w:t>B</w:t>
            </w:r>
            <w:r w:rsidRPr="008B1A8E">
              <w:t xml:space="preserve">oost, </w:t>
            </w:r>
            <w:r>
              <w:t xml:space="preserve">the </w:t>
            </w:r>
            <w:r w:rsidRPr="008B1A8E">
              <w:t>first of these will be in April and will also include Boost</w:t>
            </w:r>
            <w:bookmarkStart w:id="0" w:name="_GoBack"/>
            <w:bookmarkEnd w:id="0"/>
            <w:r w:rsidRPr="008B1A8E">
              <w:t>&amp;Co partners.  All other marketing meeting will be for CORE delivery staff only</w:t>
            </w:r>
          </w:p>
        </w:tc>
      </w:tr>
      <w:tr w:rsidR="00250054" w:rsidTr="00AA7495">
        <w:tc>
          <w:tcPr>
            <w:tcW w:w="1857" w:type="dxa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</w:tcPr>
          <w:p w:rsidR="0030431A" w:rsidRPr="00E252E1" w:rsidRDefault="00855FA3" w:rsidP="00AA7495">
            <w:pPr>
              <w:ind w:left="0" w:firstLine="0"/>
            </w:pPr>
            <w:r w:rsidRPr="00E252E1">
              <w:t>Pg. 50</w:t>
            </w:r>
          </w:p>
        </w:tc>
        <w:tc>
          <w:tcPr>
            <w:tcW w:w="5685" w:type="dxa"/>
          </w:tcPr>
          <w:p w:rsidR="0030431A" w:rsidRPr="00E252E1" w:rsidRDefault="00855FA3" w:rsidP="00AA7495">
            <w:pPr>
              <w:ind w:left="34" w:hanging="34"/>
            </w:pPr>
            <w:r w:rsidRPr="00E252E1">
              <w:t>There is a sense amongst contracted partners that they could be engaged more proactively on ‘what works’ reflection to facilitate a more proactive stance to responding to business need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>
              <w:t xml:space="preserve">It is </w:t>
            </w:r>
            <w:r w:rsidRPr="008B1A8E">
              <w:t>suggest</w:t>
            </w:r>
            <w:r>
              <w:t>ed</w:t>
            </w:r>
            <w:r w:rsidRPr="008B1A8E">
              <w:t xml:space="preserve"> </w:t>
            </w:r>
            <w:r>
              <w:t xml:space="preserve">that </w:t>
            </w:r>
            <w:r w:rsidRPr="008B1A8E">
              <w:t xml:space="preserve">this </w:t>
            </w:r>
            <w:r>
              <w:t xml:space="preserve">could be </w:t>
            </w:r>
            <w:r w:rsidRPr="008B1A8E">
              <w:t>captured in the Operations sub</w:t>
            </w:r>
            <w:r>
              <w:t>-</w:t>
            </w:r>
            <w:r w:rsidRPr="008B1A8E">
              <w:t xml:space="preserve">group, we currently run "spotlight" sessions </w:t>
            </w:r>
            <w:r>
              <w:t>share</w:t>
            </w:r>
            <w:r w:rsidRPr="008B1A8E">
              <w:t xml:space="preserve"> and celebrate good activity, we </w:t>
            </w:r>
            <w:r>
              <w:t xml:space="preserve">will </w:t>
            </w:r>
            <w:r w:rsidRPr="008B1A8E">
              <w:t>also include as agenda item "what's working well in Lancashire"</w:t>
            </w:r>
          </w:p>
        </w:tc>
      </w:tr>
      <w:tr w:rsidR="00250054" w:rsidTr="00AA7495">
        <w:tc>
          <w:tcPr>
            <w:tcW w:w="1857" w:type="dxa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</w:tcPr>
          <w:p w:rsidR="0030431A" w:rsidRPr="00E252E1" w:rsidRDefault="00855FA3" w:rsidP="00AA7495">
            <w:pPr>
              <w:ind w:left="0" w:firstLine="0"/>
            </w:pPr>
            <w:r w:rsidRPr="00E252E1">
              <w:t>Pg. 35</w:t>
            </w:r>
          </w:p>
        </w:tc>
        <w:tc>
          <w:tcPr>
            <w:tcW w:w="5685" w:type="dxa"/>
          </w:tcPr>
          <w:p w:rsidR="0030431A" w:rsidRPr="00E252E1" w:rsidRDefault="00855FA3" w:rsidP="00AA7495">
            <w:pPr>
              <w:ind w:left="34" w:hanging="34"/>
            </w:pPr>
            <w:r w:rsidRPr="00E252E1">
              <w:t xml:space="preserve">Boost &amp; Co has yet to fully realise its potential – opportunities especially through what </w:t>
            </w:r>
            <w:r w:rsidRPr="00855FA3">
              <w:t>Growth Support Pr</w:t>
            </w:r>
            <w:r>
              <w:t>ogramme</w:t>
            </w:r>
            <w:r w:rsidRPr="00E252E1">
              <w:t xml:space="preserve"> want to do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 xml:space="preserve">This was picked up in the procurement, and partners are looking to utilise this resource more meaningfully and proactively, for example </w:t>
            </w:r>
            <w:r w:rsidRPr="00855FA3">
              <w:t>Winning Pitch</w:t>
            </w:r>
            <w:r w:rsidRPr="008B1A8E">
              <w:t xml:space="preserve"> are only using private sector partners that are </w:t>
            </w:r>
            <w:proofErr w:type="spellStart"/>
            <w:r w:rsidRPr="008B1A8E">
              <w:t>Boost&amp;co</w:t>
            </w:r>
            <w:proofErr w:type="spellEnd"/>
            <w:r w:rsidRPr="008B1A8E">
              <w:t>!</w:t>
            </w:r>
          </w:p>
        </w:tc>
      </w:tr>
      <w:tr w:rsidR="00250054" w:rsidTr="00AA7495">
        <w:tc>
          <w:tcPr>
            <w:tcW w:w="1857" w:type="dxa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</w:tcPr>
          <w:p w:rsidR="0030431A" w:rsidRPr="00E252E1" w:rsidRDefault="00855FA3" w:rsidP="00AA7495">
            <w:pPr>
              <w:ind w:left="0" w:firstLine="0"/>
            </w:pPr>
            <w:r w:rsidRPr="00E252E1">
              <w:t>Pg.26</w:t>
            </w:r>
          </w:p>
        </w:tc>
        <w:tc>
          <w:tcPr>
            <w:tcW w:w="5685" w:type="dxa"/>
          </w:tcPr>
          <w:p w:rsidR="0030431A" w:rsidRPr="00E252E1" w:rsidRDefault="00855FA3" w:rsidP="00AA7495">
            <w:pPr>
              <w:ind w:left="34" w:hanging="34"/>
            </w:pPr>
            <w:r w:rsidRPr="00E252E1">
              <w:t>Competition</w:t>
            </w:r>
            <w:r>
              <w:t xml:space="preserve"> between contractors</w:t>
            </w:r>
            <w:r w:rsidRPr="00E252E1">
              <w:t xml:space="preserve"> has created tension in the partnership</w:t>
            </w:r>
          </w:p>
        </w:tc>
        <w:tc>
          <w:tcPr>
            <w:tcW w:w="5381" w:type="dxa"/>
          </w:tcPr>
          <w:p w:rsidR="0030431A" w:rsidRPr="008B1A8E" w:rsidRDefault="00855FA3" w:rsidP="00855FA3">
            <w:pPr>
              <w:ind w:left="34" w:hanging="34"/>
            </w:pPr>
            <w:r>
              <w:t>C</w:t>
            </w:r>
            <w:r w:rsidRPr="008B1A8E">
              <w:t xml:space="preserve">urrently </w:t>
            </w:r>
            <w:r w:rsidRPr="00855FA3">
              <w:t xml:space="preserve">Winning Pitch, Community Business </w:t>
            </w:r>
            <w:proofErr w:type="spellStart"/>
            <w:r w:rsidRPr="00855FA3">
              <w:t>Patners</w:t>
            </w:r>
            <w:proofErr w:type="spellEnd"/>
            <w:r w:rsidRPr="00855FA3">
              <w:t xml:space="preserve">, </w:t>
            </w:r>
            <w:proofErr w:type="spellStart"/>
            <w:r w:rsidRPr="00855FA3">
              <w:t>Orvia</w:t>
            </w:r>
            <w:proofErr w:type="spellEnd"/>
            <w:r w:rsidRPr="00855FA3">
              <w:t xml:space="preserve"> and Enterprise for All</w:t>
            </w:r>
            <w:r w:rsidRPr="008B1A8E">
              <w:t xml:space="preserve"> have all agreed to work collaboratively, this includes recognising that decisions to work with businesses are made on Business need/requirement</w:t>
            </w:r>
            <w:r>
              <w:t xml:space="preserve">.  It is </w:t>
            </w:r>
            <w:r w:rsidRPr="008B1A8E">
              <w:t xml:space="preserve">also part of </w:t>
            </w:r>
            <w:r>
              <w:t xml:space="preserve">revised </w:t>
            </w:r>
            <w:r w:rsidRPr="008B1A8E">
              <w:t xml:space="preserve">monitoring requirements </w:t>
            </w:r>
            <w:r>
              <w:t>that we scrutinise more fully the</w:t>
            </w:r>
            <w:r w:rsidRPr="008B1A8E">
              <w:t xml:space="preserve"> referrals to "other partners" to further </w:t>
            </w:r>
            <w:r w:rsidRPr="008B1A8E">
              <w:lastRenderedPageBreak/>
              <w:t xml:space="preserve">emphasis the need to work on business need NOT programme </w:t>
            </w:r>
            <w:r>
              <w:t>targets.</w:t>
            </w:r>
          </w:p>
        </w:tc>
      </w:tr>
      <w:tr w:rsidR="00250054" w:rsidTr="00AA7495">
        <w:tc>
          <w:tcPr>
            <w:tcW w:w="1857" w:type="dxa"/>
            <w:shd w:val="clear" w:color="auto" w:fill="808080" w:themeFill="background1" w:themeFillShade="80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30431A" w:rsidRPr="00E252E1" w:rsidRDefault="00D510B0" w:rsidP="00AA7495">
            <w:pPr>
              <w:ind w:left="0" w:firstLine="0"/>
            </w:pPr>
          </w:p>
        </w:tc>
        <w:tc>
          <w:tcPr>
            <w:tcW w:w="5685" w:type="dxa"/>
            <w:shd w:val="clear" w:color="auto" w:fill="808080" w:themeFill="background1" w:themeFillShade="80"/>
          </w:tcPr>
          <w:p w:rsidR="0030431A" w:rsidRPr="00E252E1" w:rsidRDefault="00D510B0" w:rsidP="00AA7495">
            <w:pPr>
              <w:ind w:left="34" w:hanging="34"/>
            </w:pPr>
          </w:p>
        </w:tc>
        <w:tc>
          <w:tcPr>
            <w:tcW w:w="5381" w:type="dxa"/>
            <w:shd w:val="clear" w:color="auto" w:fill="808080" w:themeFill="background1" w:themeFillShade="80"/>
          </w:tcPr>
          <w:p w:rsidR="0030431A" w:rsidRPr="008B1A8E" w:rsidRDefault="00D510B0" w:rsidP="00AA7495">
            <w:pPr>
              <w:ind w:left="34" w:hanging="34"/>
            </w:pPr>
          </w:p>
        </w:tc>
      </w:tr>
      <w:tr w:rsidR="00250054" w:rsidTr="00AA7495">
        <w:trPr>
          <w:trHeight w:val="405"/>
        </w:trPr>
        <w:tc>
          <w:tcPr>
            <w:tcW w:w="1857" w:type="dxa"/>
          </w:tcPr>
          <w:p w:rsidR="0030431A" w:rsidRDefault="00855FA3" w:rsidP="00AA7495">
            <w:pPr>
              <w:ind w:left="0" w:firstLine="0"/>
              <w:rPr>
                <w:b/>
              </w:rPr>
            </w:pPr>
            <w:r>
              <w:rPr>
                <w:b/>
              </w:rPr>
              <w:t>Activity Delivery</w:t>
            </w: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  <w:rPr>
                <w:b/>
              </w:rPr>
            </w:pPr>
            <w:r w:rsidRPr="00E252E1">
              <w:t>Pg. 30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  <w:rPr>
                <w:b/>
              </w:rPr>
            </w:pPr>
            <w:r w:rsidRPr="00E252E1">
              <w:t>It is considered that the associate model (sub-contracted) used by partners such as Growth Lancashire has not been conducive to developing long term relationships beyond the hours of support for which the associates are paid to deliver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 xml:space="preserve">We will continue to monitor and challenge this where examples of this relationship development are not being pursued.  The new contract makes it very clear that "RELATIONSHIP" is a critical factor in the delivery of the </w:t>
            </w:r>
            <w:r w:rsidRPr="00855FA3">
              <w:t>Business Relationship Man</w:t>
            </w:r>
            <w:r>
              <w:t>agement</w:t>
            </w:r>
            <w:r w:rsidRPr="008B1A8E">
              <w:t xml:space="preserve"> service</w:t>
            </w:r>
            <w:r>
              <w:t>.</w:t>
            </w:r>
          </w:p>
        </w:tc>
      </w:tr>
      <w:tr w:rsidR="00250054" w:rsidTr="00AA7495">
        <w:trPr>
          <w:trHeight w:val="405"/>
        </w:trPr>
        <w:tc>
          <w:tcPr>
            <w:tcW w:w="1857" w:type="dxa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Pg. 31</w:t>
            </w:r>
          </w:p>
        </w:tc>
        <w:tc>
          <w:tcPr>
            <w:tcW w:w="5685" w:type="dxa"/>
          </w:tcPr>
          <w:p w:rsidR="0030431A" w:rsidRPr="00E252E1" w:rsidRDefault="00855FA3" w:rsidP="00AA7495">
            <w:pPr>
              <w:ind w:left="34" w:hanging="34"/>
            </w:pPr>
            <w:r w:rsidRPr="00E252E1">
              <w:t>Referral systems require improvement…… There needs to be a ‘warm’ handover is the referral opportunity is to be realised…….. The lack of accountability surrounding referrals is a barrier to effectiveness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 xml:space="preserve">Again we continue to monitor and challenge where this is not happening.  However we are clear that referrals need to be warm and personal, there is no ambiguity – where examples of poor practice are given </w:t>
            </w:r>
            <w:r w:rsidRPr="00855FA3">
              <w:t>to the Programme Management Team, we wi</w:t>
            </w:r>
            <w:r w:rsidRPr="008B1A8E">
              <w:t>ll act and remedy!</w:t>
            </w:r>
          </w:p>
        </w:tc>
      </w:tr>
      <w:tr w:rsidR="00250054" w:rsidTr="00AA7495">
        <w:trPr>
          <w:trHeight w:val="405"/>
        </w:trPr>
        <w:tc>
          <w:tcPr>
            <w:tcW w:w="1857" w:type="dxa"/>
          </w:tcPr>
          <w:p w:rsidR="0030431A" w:rsidRDefault="00D510B0" w:rsidP="00AA7495">
            <w:pPr>
              <w:ind w:left="0" w:firstLine="0"/>
              <w:rPr>
                <w:b/>
              </w:rPr>
            </w:pPr>
          </w:p>
        </w:tc>
        <w:tc>
          <w:tcPr>
            <w:tcW w:w="1025" w:type="dxa"/>
          </w:tcPr>
          <w:p w:rsidR="0030431A" w:rsidRPr="00E252E1" w:rsidRDefault="00855FA3" w:rsidP="00AA7495">
            <w:pPr>
              <w:ind w:left="0" w:firstLine="0"/>
            </w:pPr>
            <w:r w:rsidRPr="00E252E1">
              <w:t>Pg. 32</w:t>
            </w:r>
          </w:p>
        </w:tc>
        <w:tc>
          <w:tcPr>
            <w:tcW w:w="5685" w:type="dxa"/>
          </w:tcPr>
          <w:p w:rsidR="0030431A" w:rsidRPr="00E252E1" w:rsidRDefault="00855FA3" w:rsidP="00AA7495">
            <w:pPr>
              <w:ind w:left="34" w:hanging="34"/>
            </w:pPr>
            <w:r w:rsidRPr="00E252E1">
              <w:t>The beneficiary feedback highlighted various issues associated with a lack of follow up from Boost…….. The limitations of a 12-hour assist within a set time period acts as a barrier to developing long term relationships with business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>The New BRM service was explicitly designed to champion and correct this poor practice.  Businesses can expect to be "kept in touch with" at least every 6 months (minimum)</w:t>
            </w:r>
          </w:p>
        </w:tc>
      </w:tr>
      <w:tr w:rsidR="00250054" w:rsidTr="00AA7495">
        <w:tc>
          <w:tcPr>
            <w:tcW w:w="1857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Pg. 33</w:t>
            </w:r>
          </w:p>
        </w:tc>
        <w:tc>
          <w:tcPr>
            <w:tcW w:w="5685" w:type="dxa"/>
          </w:tcPr>
          <w:p w:rsidR="0030431A" w:rsidRDefault="00855FA3" w:rsidP="00AA7495">
            <w:pPr>
              <w:ind w:left="34" w:hanging="34"/>
            </w:pPr>
            <w:r w:rsidRPr="00E252E1">
              <w:t>Beneficiary case studies highlighted some negative experiences which questions whether the advisor/mentor was sufficiently equipped with the skills they needed to provide the technical advice sought</w:t>
            </w:r>
          </w:p>
          <w:p w:rsidR="0030431A" w:rsidRPr="004215DB" w:rsidRDefault="00D510B0" w:rsidP="00AA7495">
            <w:pPr>
              <w:ind w:left="34" w:hanging="34"/>
            </w:pP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>Simple should not happen, any examples of this will be challenged and corrected!</w:t>
            </w:r>
          </w:p>
        </w:tc>
      </w:tr>
      <w:tr w:rsidR="00250054" w:rsidTr="00AA7495">
        <w:tc>
          <w:tcPr>
            <w:tcW w:w="1857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Pg,33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</w:pPr>
            <w:r w:rsidRPr="00E252E1">
              <w:t>A consistent message from beneficiaries include a lack of access of finance support</w:t>
            </w:r>
          </w:p>
        </w:tc>
        <w:tc>
          <w:tcPr>
            <w:tcW w:w="5381" w:type="dxa"/>
          </w:tcPr>
          <w:p w:rsidR="0030431A" w:rsidRDefault="00855FA3" w:rsidP="00AA7495">
            <w:pPr>
              <w:ind w:left="34" w:hanging="34"/>
            </w:pPr>
            <w:r w:rsidRPr="008B1A8E">
              <w:t>We have an A</w:t>
            </w:r>
            <w:r>
              <w:t xml:space="preserve">ccess </w:t>
            </w:r>
            <w:r w:rsidRPr="008B1A8E">
              <w:t>2</w:t>
            </w:r>
            <w:r>
              <w:t xml:space="preserve"> </w:t>
            </w:r>
            <w:r w:rsidRPr="008B1A8E">
              <w:t>F</w:t>
            </w:r>
            <w:r>
              <w:t>inance</w:t>
            </w:r>
            <w:r w:rsidRPr="008B1A8E">
              <w:t xml:space="preserve"> service to curate these important conversations, again this simply should not happen!</w:t>
            </w:r>
          </w:p>
          <w:p w:rsidR="0030431A" w:rsidRPr="008B1A8E" w:rsidRDefault="00D510B0" w:rsidP="00AA7495">
            <w:pPr>
              <w:ind w:left="34" w:hanging="34"/>
            </w:pPr>
          </w:p>
        </w:tc>
      </w:tr>
      <w:tr w:rsidR="00250054" w:rsidTr="00AA7495">
        <w:tc>
          <w:tcPr>
            <w:tcW w:w="1857" w:type="dxa"/>
            <w:shd w:val="clear" w:color="auto" w:fill="808080" w:themeFill="background1" w:themeFillShade="80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5685" w:type="dxa"/>
            <w:shd w:val="clear" w:color="auto" w:fill="808080" w:themeFill="background1" w:themeFillShade="80"/>
          </w:tcPr>
          <w:p w:rsidR="0030431A" w:rsidRPr="004215DB" w:rsidRDefault="00D510B0" w:rsidP="00AA7495">
            <w:pPr>
              <w:ind w:left="34" w:hanging="34"/>
            </w:pPr>
          </w:p>
        </w:tc>
        <w:tc>
          <w:tcPr>
            <w:tcW w:w="5381" w:type="dxa"/>
            <w:shd w:val="clear" w:color="auto" w:fill="808080" w:themeFill="background1" w:themeFillShade="80"/>
          </w:tcPr>
          <w:p w:rsidR="0030431A" w:rsidRPr="008B1A8E" w:rsidRDefault="00D510B0" w:rsidP="00AA7495">
            <w:pPr>
              <w:ind w:left="34" w:hanging="34"/>
            </w:pPr>
          </w:p>
        </w:tc>
      </w:tr>
      <w:tr w:rsidR="00250054" w:rsidTr="00AA7495">
        <w:tc>
          <w:tcPr>
            <w:tcW w:w="1857" w:type="dxa"/>
          </w:tcPr>
          <w:p w:rsidR="0030431A" w:rsidRPr="004215DB" w:rsidRDefault="00855FA3" w:rsidP="00AA7495">
            <w:pPr>
              <w:ind w:left="0" w:firstLine="0"/>
            </w:pPr>
            <w:r>
              <w:t>Systems</w:t>
            </w: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Pg. 31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</w:pPr>
            <w:r w:rsidRPr="00E252E1">
              <w:t xml:space="preserve">There have been inconsistencies in how partners have used </w:t>
            </w:r>
            <w:proofErr w:type="spellStart"/>
            <w:r w:rsidRPr="00E252E1">
              <w:t>Evolutive</w:t>
            </w:r>
            <w:proofErr w:type="spellEnd"/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 xml:space="preserve">We have now brought the </w:t>
            </w:r>
            <w:r w:rsidRPr="00855FA3">
              <w:t>Customer Relationship Man</w:t>
            </w:r>
            <w:r>
              <w:t>a</w:t>
            </w:r>
            <w:r w:rsidRPr="00855FA3">
              <w:t>gement</w:t>
            </w:r>
            <w:r>
              <w:t xml:space="preserve"> system</w:t>
            </w:r>
            <w:r w:rsidRPr="008B1A8E">
              <w:t xml:space="preserve"> into Core Boost </w:t>
            </w:r>
            <w:r w:rsidRPr="00855FA3">
              <w:t>programme management team</w:t>
            </w:r>
          </w:p>
        </w:tc>
      </w:tr>
      <w:tr w:rsidR="00250054" w:rsidTr="00AA7495">
        <w:tc>
          <w:tcPr>
            <w:tcW w:w="1857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</w:tcPr>
          <w:p w:rsidR="0030431A" w:rsidRPr="00E252E1" w:rsidRDefault="00855FA3" w:rsidP="00AA7495">
            <w:r w:rsidRPr="00E252E1">
              <w:t xml:space="preserve">Pg. 52 </w:t>
            </w:r>
          </w:p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5685" w:type="dxa"/>
          </w:tcPr>
          <w:p w:rsidR="0030431A" w:rsidRPr="004215DB" w:rsidRDefault="00855FA3" w:rsidP="00855FA3">
            <w:pPr>
              <w:ind w:left="34" w:hanging="34"/>
            </w:pPr>
            <w:r w:rsidRPr="00E252E1">
              <w:t xml:space="preserve">Ensuring progress reports and the CRM system are fully aligned facilitates a better understanding of performance and progress 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>We have now brought the CRM into Core Boost PMT</w:t>
            </w:r>
          </w:p>
        </w:tc>
      </w:tr>
      <w:tr w:rsidR="00250054" w:rsidTr="00AA7495">
        <w:tc>
          <w:tcPr>
            <w:tcW w:w="1857" w:type="dxa"/>
            <w:shd w:val="clear" w:color="auto" w:fill="808080" w:themeFill="background1" w:themeFillShade="80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  <w:shd w:val="clear" w:color="auto" w:fill="808080" w:themeFill="background1" w:themeFillShade="80"/>
          </w:tcPr>
          <w:p w:rsidR="0030431A" w:rsidRPr="004215DB" w:rsidRDefault="00D510B0" w:rsidP="00AA7495"/>
        </w:tc>
        <w:tc>
          <w:tcPr>
            <w:tcW w:w="5685" w:type="dxa"/>
            <w:shd w:val="clear" w:color="auto" w:fill="808080" w:themeFill="background1" w:themeFillShade="80"/>
          </w:tcPr>
          <w:p w:rsidR="0030431A" w:rsidRPr="004215DB" w:rsidRDefault="00D510B0" w:rsidP="00AA7495">
            <w:pPr>
              <w:ind w:left="34" w:hanging="34"/>
            </w:pPr>
          </w:p>
        </w:tc>
        <w:tc>
          <w:tcPr>
            <w:tcW w:w="5381" w:type="dxa"/>
            <w:shd w:val="clear" w:color="auto" w:fill="808080" w:themeFill="background1" w:themeFillShade="80"/>
          </w:tcPr>
          <w:p w:rsidR="0030431A" w:rsidRPr="008B1A8E" w:rsidRDefault="00D510B0" w:rsidP="00AA7495">
            <w:pPr>
              <w:ind w:left="34" w:hanging="34"/>
            </w:pPr>
          </w:p>
        </w:tc>
      </w:tr>
      <w:tr w:rsidR="00250054" w:rsidTr="00AA7495">
        <w:tc>
          <w:tcPr>
            <w:tcW w:w="1857" w:type="dxa"/>
          </w:tcPr>
          <w:p w:rsidR="0030431A" w:rsidRDefault="00855FA3" w:rsidP="00AA7495">
            <w:pPr>
              <w:ind w:left="0" w:firstLine="0"/>
            </w:pPr>
            <w:r>
              <w:t xml:space="preserve">Commissioning </w:t>
            </w:r>
          </w:p>
          <w:p w:rsidR="0030431A" w:rsidRPr="004215DB" w:rsidRDefault="00855FA3" w:rsidP="00AA7495">
            <w:pPr>
              <w:ind w:left="0" w:firstLine="0"/>
            </w:pPr>
            <w:r>
              <w:t>Of Services</w:t>
            </w: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Pg. 51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</w:pPr>
            <w:r w:rsidRPr="00E252E1">
              <w:t>A delivery approach that rewards long term account management of businesses is required</w:t>
            </w:r>
          </w:p>
        </w:tc>
        <w:tc>
          <w:tcPr>
            <w:tcW w:w="5381" w:type="dxa"/>
          </w:tcPr>
          <w:p w:rsidR="0030431A" w:rsidRPr="008B1A8E" w:rsidRDefault="00855FA3" w:rsidP="00AA7495">
            <w:pPr>
              <w:ind w:left="34" w:hanging="34"/>
            </w:pPr>
            <w:r w:rsidRPr="008B1A8E">
              <w:t>We can only working within the finance timeframes available to us, however as a statement of intent, this is our ambition</w:t>
            </w:r>
          </w:p>
        </w:tc>
      </w:tr>
      <w:tr w:rsidR="00250054" w:rsidTr="00AA7495">
        <w:tc>
          <w:tcPr>
            <w:tcW w:w="1857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</w:tcPr>
          <w:p w:rsidR="0030431A" w:rsidRPr="004215DB" w:rsidRDefault="00855FA3" w:rsidP="00AA7495">
            <w:pPr>
              <w:ind w:left="0" w:firstLine="0"/>
            </w:pPr>
            <w:r w:rsidRPr="00E252E1">
              <w:t>Pg. 52</w:t>
            </w:r>
          </w:p>
        </w:tc>
        <w:tc>
          <w:tcPr>
            <w:tcW w:w="5685" w:type="dxa"/>
          </w:tcPr>
          <w:p w:rsidR="0030431A" w:rsidRPr="004215DB" w:rsidRDefault="00855FA3" w:rsidP="00AA7495">
            <w:pPr>
              <w:ind w:left="34" w:hanging="34"/>
            </w:pPr>
            <w:r w:rsidRPr="00E252E1">
              <w:t>Appointment of independent consultants at the start of the next programme, to support the establishment of the monitoring and evaluation framework and embed evaluation tools</w:t>
            </w:r>
          </w:p>
        </w:tc>
        <w:tc>
          <w:tcPr>
            <w:tcW w:w="5381" w:type="dxa"/>
          </w:tcPr>
          <w:p w:rsidR="0030431A" w:rsidRPr="008B1A8E" w:rsidRDefault="00855FA3" w:rsidP="008C07C4">
            <w:pPr>
              <w:ind w:left="34" w:hanging="34"/>
            </w:pPr>
            <w:r w:rsidRPr="008B1A8E">
              <w:t>We will look to procure an evaluation framework within the next 6 months, and money has been set aside for this activity.</w:t>
            </w:r>
          </w:p>
        </w:tc>
      </w:tr>
      <w:tr w:rsidR="00250054" w:rsidTr="00AA7495">
        <w:tc>
          <w:tcPr>
            <w:tcW w:w="1857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1025" w:type="dxa"/>
          </w:tcPr>
          <w:p w:rsidR="0030431A" w:rsidRPr="004215DB" w:rsidRDefault="00D510B0" w:rsidP="00AA7495">
            <w:pPr>
              <w:ind w:left="0" w:firstLine="0"/>
            </w:pPr>
          </w:p>
        </w:tc>
        <w:tc>
          <w:tcPr>
            <w:tcW w:w="5685" w:type="dxa"/>
          </w:tcPr>
          <w:p w:rsidR="0030431A" w:rsidRPr="004215DB" w:rsidRDefault="00D510B0" w:rsidP="00AA7495">
            <w:pPr>
              <w:ind w:left="34" w:hanging="34"/>
            </w:pPr>
          </w:p>
        </w:tc>
        <w:tc>
          <w:tcPr>
            <w:tcW w:w="5381" w:type="dxa"/>
          </w:tcPr>
          <w:p w:rsidR="0030431A" w:rsidRPr="008B1A8E" w:rsidRDefault="00D510B0" w:rsidP="00AA7495">
            <w:pPr>
              <w:ind w:left="34" w:hanging="34"/>
            </w:pPr>
          </w:p>
        </w:tc>
      </w:tr>
    </w:tbl>
    <w:p w:rsidR="00270BA2" w:rsidRPr="00E252E1" w:rsidRDefault="00D510B0" w:rsidP="00EF3249"/>
    <w:p w:rsidR="00386D34" w:rsidRDefault="00D510B0"/>
    <w:sectPr w:rsidR="00386D34" w:rsidSect="00C532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D0" w:rsidRDefault="00855FA3">
      <w:pPr>
        <w:spacing w:after="0" w:line="240" w:lineRule="auto"/>
      </w:pPr>
      <w:r>
        <w:separator/>
      </w:r>
    </w:p>
  </w:endnote>
  <w:endnote w:type="continuationSeparator" w:id="0">
    <w:p w:rsidR="007F7FD0" w:rsidRDefault="008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D0" w:rsidRDefault="00855FA3">
      <w:pPr>
        <w:spacing w:after="0" w:line="240" w:lineRule="auto"/>
      </w:pPr>
      <w:r>
        <w:separator/>
      </w:r>
    </w:p>
  </w:footnote>
  <w:footnote w:type="continuationSeparator" w:id="0">
    <w:p w:rsidR="007F7FD0" w:rsidRDefault="008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855F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094355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75E1CBB"/>
    <w:multiLevelType w:val="hybridMultilevel"/>
    <w:tmpl w:val="BAB40B78"/>
    <w:lvl w:ilvl="0" w:tplc="3B9E922A">
      <w:start w:val="1"/>
      <w:numFmt w:val="decimal"/>
      <w:lvlText w:val="%1."/>
      <w:lvlJc w:val="left"/>
      <w:pPr>
        <w:ind w:left="720" w:hanging="360"/>
      </w:pPr>
    </w:lvl>
    <w:lvl w:ilvl="1" w:tplc="FC7CC9CE" w:tentative="1">
      <w:start w:val="1"/>
      <w:numFmt w:val="lowerLetter"/>
      <w:lvlText w:val="%2."/>
      <w:lvlJc w:val="left"/>
      <w:pPr>
        <w:ind w:left="1440" w:hanging="360"/>
      </w:pPr>
    </w:lvl>
    <w:lvl w:ilvl="2" w:tplc="9184D85C" w:tentative="1">
      <w:start w:val="1"/>
      <w:numFmt w:val="lowerRoman"/>
      <w:lvlText w:val="%3."/>
      <w:lvlJc w:val="right"/>
      <w:pPr>
        <w:ind w:left="2160" w:hanging="180"/>
      </w:pPr>
    </w:lvl>
    <w:lvl w:ilvl="3" w:tplc="C4F4438E" w:tentative="1">
      <w:start w:val="1"/>
      <w:numFmt w:val="decimal"/>
      <w:lvlText w:val="%4."/>
      <w:lvlJc w:val="left"/>
      <w:pPr>
        <w:ind w:left="2880" w:hanging="360"/>
      </w:pPr>
    </w:lvl>
    <w:lvl w:ilvl="4" w:tplc="18A0130C" w:tentative="1">
      <w:start w:val="1"/>
      <w:numFmt w:val="lowerLetter"/>
      <w:lvlText w:val="%5."/>
      <w:lvlJc w:val="left"/>
      <w:pPr>
        <w:ind w:left="3600" w:hanging="360"/>
      </w:pPr>
    </w:lvl>
    <w:lvl w:ilvl="5" w:tplc="247AC0D2" w:tentative="1">
      <w:start w:val="1"/>
      <w:numFmt w:val="lowerRoman"/>
      <w:lvlText w:val="%6."/>
      <w:lvlJc w:val="right"/>
      <w:pPr>
        <w:ind w:left="4320" w:hanging="180"/>
      </w:pPr>
    </w:lvl>
    <w:lvl w:ilvl="6" w:tplc="E368B95A" w:tentative="1">
      <w:start w:val="1"/>
      <w:numFmt w:val="decimal"/>
      <w:lvlText w:val="%7."/>
      <w:lvlJc w:val="left"/>
      <w:pPr>
        <w:ind w:left="5040" w:hanging="360"/>
      </w:pPr>
    </w:lvl>
    <w:lvl w:ilvl="7" w:tplc="2A268066" w:tentative="1">
      <w:start w:val="1"/>
      <w:numFmt w:val="lowerLetter"/>
      <w:lvlText w:val="%8."/>
      <w:lvlJc w:val="left"/>
      <w:pPr>
        <w:ind w:left="5760" w:hanging="360"/>
      </w:pPr>
    </w:lvl>
    <w:lvl w:ilvl="8" w:tplc="62085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3D4"/>
    <w:multiLevelType w:val="hybridMultilevel"/>
    <w:tmpl w:val="0BBA2C0C"/>
    <w:lvl w:ilvl="0" w:tplc="67BAD408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AA837F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06F1F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69E1E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F91AEDC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31F02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044221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59E8907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2F0C72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7A474A8B"/>
    <w:multiLevelType w:val="multilevel"/>
    <w:tmpl w:val="25987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4"/>
    <w:rsid w:val="00250054"/>
    <w:rsid w:val="007F7FD0"/>
    <w:rsid w:val="00855FA3"/>
    <w:rsid w:val="00D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BB96-74FB-4CCF-9909-8F0720E9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C4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D36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D36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8A45-505A-41D9-BAA8-86F4A90C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Rawcliffe, Cath</cp:lastModifiedBy>
  <cp:revision>17</cp:revision>
  <dcterms:created xsi:type="dcterms:W3CDTF">2015-06-25T10:41:00Z</dcterms:created>
  <dcterms:modified xsi:type="dcterms:W3CDTF">2019-03-08T10:10:00Z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Boost 2016-2018 External Evaluation Report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Thursday, 14 March 2019</vt:lpwstr>
  </property>
</Properties>
</file>